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0E846" w14:textId="418995A5" w:rsidR="00D77F39" w:rsidRPr="009C2419" w:rsidRDefault="00D77F39" w:rsidP="009C2419">
      <w:pPr>
        <w:spacing w:after="36" w:line="259" w:lineRule="auto"/>
        <w:ind w:left="62" w:hanging="10"/>
        <w:jc w:val="center"/>
        <w:rPr>
          <w:sz w:val="24"/>
          <w:szCs w:val="26"/>
        </w:rPr>
      </w:pPr>
      <w:r w:rsidRPr="009C2419">
        <w:rPr>
          <w:rFonts w:ascii="Calibri" w:eastAsia="Calibri" w:hAnsi="Calibri" w:cs="Calibri"/>
          <w:b/>
          <w:sz w:val="24"/>
          <w:szCs w:val="28"/>
          <w:u w:val="single" w:color="000000"/>
        </w:rPr>
        <w:t>Anexo II.- B. Instrucciones para cumplimentar el Anexo Documento Único Europeo de</w:t>
      </w:r>
      <w:r w:rsidR="009C2419">
        <w:rPr>
          <w:rFonts w:ascii="Calibri" w:eastAsia="Calibri" w:hAnsi="Calibri" w:cs="Calibri"/>
          <w:b/>
          <w:sz w:val="24"/>
          <w:szCs w:val="28"/>
          <w:u w:val="single" w:color="000000"/>
        </w:rPr>
        <w:t xml:space="preserve"> </w:t>
      </w:r>
      <w:r w:rsidRPr="009C2419">
        <w:rPr>
          <w:rFonts w:ascii="Calibri" w:eastAsia="Calibri" w:hAnsi="Calibri" w:cs="Calibri"/>
          <w:b/>
          <w:sz w:val="24"/>
          <w:szCs w:val="28"/>
          <w:u w:val="single" w:color="000000"/>
        </w:rPr>
        <w:t>Contratación (DEUC)</w:t>
      </w:r>
    </w:p>
    <w:p w14:paraId="0C9B796F" w14:textId="77777777" w:rsidR="00D77F39" w:rsidRDefault="00D77F39" w:rsidP="00D77F39">
      <w:pPr>
        <w:spacing w:after="37" w:line="259" w:lineRule="auto"/>
        <w:ind w:left="62" w:hanging="10"/>
        <w:jc w:val="both"/>
      </w:pPr>
      <w:r>
        <w:t xml:space="preserve"> </w:t>
      </w:r>
    </w:p>
    <w:p w14:paraId="438E4D0C" w14:textId="77777777" w:rsidR="00D77F39" w:rsidRDefault="00D77F39" w:rsidP="00D77F39">
      <w:pPr>
        <w:ind w:left="62" w:hanging="10"/>
        <w:jc w:val="both"/>
      </w:pPr>
      <w:r>
        <w:t xml:space="preserve">Para poder cumplimentar el Anexo referido a la declaración responsable mediante el modelo normalizado Documento Único Europeo de Contratación (DEUC) deberá seguir los siguientes pasos:  </w:t>
      </w:r>
    </w:p>
    <w:p w14:paraId="452EA844" w14:textId="77777777" w:rsidR="00D77F39" w:rsidRDefault="00D77F39" w:rsidP="00D77F39">
      <w:pPr>
        <w:spacing w:after="37" w:line="259" w:lineRule="auto"/>
        <w:ind w:left="62" w:hanging="10"/>
        <w:jc w:val="both"/>
      </w:pPr>
      <w:r>
        <w:t xml:space="preserve"> </w:t>
      </w:r>
    </w:p>
    <w:p w14:paraId="784D3FAF" w14:textId="2D38A24C" w:rsidR="00D77F39" w:rsidRDefault="000C01A1" w:rsidP="000C01A1">
      <w:pPr>
        <w:widowControl/>
        <w:numPr>
          <w:ilvl w:val="0"/>
          <w:numId w:val="1"/>
        </w:numPr>
        <w:suppressAutoHyphens w:val="0"/>
        <w:spacing w:after="5" w:line="296" w:lineRule="auto"/>
        <w:ind w:left="62" w:hanging="10"/>
        <w:jc w:val="both"/>
      </w:pPr>
      <w:r>
        <w:t xml:space="preserve">Descargar en su equipo el </w:t>
      </w:r>
      <w:r w:rsidRPr="00B749FC">
        <w:t xml:space="preserve">fichero </w:t>
      </w:r>
      <w:r w:rsidR="00C5435B" w:rsidRPr="00B749FC">
        <w:t>DEUC</w:t>
      </w:r>
      <w:r w:rsidRPr="00B749FC">
        <w:t xml:space="preserve">.xml que </w:t>
      </w:r>
      <w:r>
        <w:t>se encuentra disponible en el anuncio de licitación del Portal de Contratación de Navarra.</w:t>
      </w:r>
      <w:r w:rsidR="00D77F39">
        <w:t xml:space="preserve"> </w:t>
      </w:r>
    </w:p>
    <w:p w14:paraId="46911822" w14:textId="7E32E6ED" w:rsidR="00D77F39" w:rsidRDefault="00D77F39" w:rsidP="00D77F39">
      <w:pPr>
        <w:widowControl/>
        <w:numPr>
          <w:ilvl w:val="0"/>
          <w:numId w:val="1"/>
        </w:numPr>
        <w:suppressAutoHyphens w:val="0"/>
        <w:spacing w:after="34" w:line="259" w:lineRule="auto"/>
        <w:ind w:left="62" w:hanging="10"/>
        <w:jc w:val="both"/>
      </w:pPr>
      <w:r>
        <w:t xml:space="preserve">Abrir el siguiente </w:t>
      </w:r>
      <w:proofErr w:type="gramStart"/>
      <w:r>
        <w:t>link</w:t>
      </w:r>
      <w:proofErr w:type="gramEnd"/>
      <w:r>
        <w:t xml:space="preserve">: </w:t>
      </w:r>
      <w:hyperlink r:id="rId7" w:history="1">
        <w:r w:rsidR="009A3A32" w:rsidRPr="00F422CB">
          <w:rPr>
            <w:rStyle w:val="Hipervnculo"/>
          </w:rPr>
          <w:t>https://visor.registrodelicitadores.gob.es/espd-web/filter?lang=es</w:t>
        </w:r>
      </w:hyperlink>
    </w:p>
    <w:p w14:paraId="434E40CE" w14:textId="64BD5888" w:rsidR="00D77F39" w:rsidRDefault="00D77F39" w:rsidP="009A3A32">
      <w:pPr>
        <w:spacing w:after="37" w:line="259" w:lineRule="auto"/>
        <w:jc w:val="both"/>
      </w:pPr>
    </w:p>
    <w:p w14:paraId="2C19057D" w14:textId="77777777" w:rsidR="00D77F39" w:rsidRDefault="00D77F39" w:rsidP="00D77F39">
      <w:pPr>
        <w:widowControl/>
        <w:numPr>
          <w:ilvl w:val="0"/>
          <w:numId w:val="1"/>
        </w:numPr>
        <w:suppressAutoHyphens w:val="0"/>
        <w:spacing w:after="5" w:line="296" w:lineRule="auto"/>
        <w:ind w:left="62" w:hanging="10"/>
        <w:jc w:val="both"/>
      </w:pPr>
      <w:r>
        <w:t xml:space="preserve">Seleccionar la opción "soy un operador económico".  </w:t>
      </w:r>
    </w:p>
    <w:p w14:paraId="56F46067" w14:textId="77777777" w:rsidR="00D77F39" w:rsidRDefault="00D77F39" w:rsidP="00D77F39">
      <w:pPr>
        <w:spacing w:after="37" w:line="259" w:lineRule="auto"/>
        <w:ind w:left="62" w:hanging="10"/>
        <w:jc w:val="both"/>
      </w:pPr>
      <w:r>
        <w:t xml:space="preserve"> </w:t>
      </w:r>
    </w:p>
    <w:p w14:paraId="78234102" w14:textId="77777777" w:rsidR="00D77F39" w:rsidRDefault="00D77F39" w:rsidP="00D77F39">
      <w:pPr>
        <w:widowControl/>
        <w:numPr>
          <w:ilvl w:val="0"/>
          <w:numId w:val="1"/>
        </w:numPr>
        <w:suppressAutoHyphens w:val="0"/>
        <w:spacing w:after="5" w:line="296" w:lineRule="auto"/>
        <w:ind w:left="62" w:hanging="10"/>
        <w:jc w:val="both"/>
      </w:pPr>
      <w:r>
        <w:t xml:space="preserve">Seleccionar la opción "importar un DEUC".  </w:t>
      </w:r>
    </w:p>
    <w:p w14:paraId="7B81D1A6" w14:textId="77777777" w:rsidR="00D77F39" w:rsidRDefault="00D77F39" w:rsidP="00D77F39">
      <w:pPr>
        <w:spacing w:after="37" w:line="259" w:lineRule="auto"/>
        <w:ind w:left="62" w:hanging="10"/>
        <w:jc w:val="both"/>
      </w:pPr>
      <w:r>
        <w:t xml:space="preserve"> </w:t>
      </w:r>
    </w:p>
    <w:p w14:paraId="2DB61C40" w14:textId="5DAC6EA5" w:rsidR="000C01A1" w:rsidRDefault="00D77F39" w:rsidP="000C01A1">
      <w:pPr>
        <w:widowControl/>
        <w:numPr>
          <w:ilvl w:val="0"/>
          <w:numId w:val="1"/>
        </w:numPr>
        <w:suppressAutoHyphens w:val="0"/>
        <w:spacing w:after="5" w:line="296" w:lineRule="auto"/>
        <w:ind w:left="62" w:hanging="10"/>
        <w:jc w:val="both"/>
      </w:pPr>
      <w:r>
        <w:t xml:space="preserve">Cargar el </w:t>
      </w:r>
      <w:r w:rsidRPr="00B749FC">
        <w:t xml:space="preserve">fichero DEUC.xml que </w:t>
      </w:r>
      <w:r>
        <w:t xml:space="preserve">se ha </w:t>
      </w:r>
      <w:r w:rsidR="000C01A1">
        <w:t>descargado en el paso 1</w:t>
      </w:r>
      <w:r>
        <w:t xml:space="preserve"> </w:t>
      </w:r>
    </w:p>
    <w:p w14:paraId="3E668CE8" w14:textId="77777777" w:rsidR="000C01A1" w:rsidRDefault="000C01A1" w:rsidP="000C01A1">
      <w:pPr>
        <w:pStyle w:val="Prrafodelista"/>
      </w:pPr>
    </w:p>
    <w:p w14:paraId="4D45328A" w14:textId="31127F9B" w:rsidR="00D77F39" w:rsidRDefault="000C01A1" w:rsidP="000C01A1">
      <w:pPr>
        <w:widowControl/>
        <w:numPr>
          <w:ilvl w:val="0"/>
          <w:numId w:val="1"/>
        </w:numPr>
        <w:suppressAutoHyphens w:val="0"/>
        <w:spacing w:after="5" w:line="296" w:lineRule="auto"/>
        <w:ind w:left="62" w:hanging="10"/>
        <w:jc w:val="both"/>
      </w:pPr>
      <w:r>
        <w:t>Cumplimentar los apartados del DEUC correspondiente. Parte I: Se trata de información sobre el procedimiento de contratación y sobre el órgano de contratación. La información que demanda esta Parte del formulario consta en el anuncio de convocatoria de la licitación, por lo que no reviste complejidad su cumplimentación. Parte II. Las empresas que figuren inscritas en el Registro Oficial de Licitadores y Empresas Clasificadas del Estado (ROLECE), o en el Registro de Licitadores de Navarra, o equivalente de otras comunidades autónomas, solo deberán facilitar en esta parte II, aquella información que no figure inscrita en los mismos o que, aun estando inscrita, no conste de manera actualizada, siempre y cuando consignen en el DEUC la información necesaria para el acceso a dicho registro. Parte III. Motivos de exclusión. Las empresas deberán responder a todas las preguntas de la parte III del formulario normalizado del DEUC. Parte IV. En esta parte relativa a los criterios de selección, las empresas cumplimentarán únicamente la parte A (indicación global relativa a todos los criterios de selección). Parte V. Esta parte será cumplimentada y firmada por la empresa interesada en todo caso</w:t>
      </w:r>
      <w:r w:rsidR="00D77F39">
        <w:t xml:space="preserve"> </w:t>
      </w:r>
    </w:p>
    <w:p w14:paraId="72B0C84C" w14:textId="77777777" w:rsidR="00D77F39" w:rsidRDefault="00D77F39" w:rsidP="00D77F39">
      <w:pPr>
        <w:widowControl/>
        <w:numPr>
          <w:ilvl w:val="0"/>
          <w:numId w:val="1"/>
        </w:numPr>
        <w:suppressAutoHyphens w:val="0"/>
        <w:spacing w:after="5" w:line="296" w:lineRule="auto"/>
        <w:ind w:left="62" w:hanging="10"/>
        <w:jc w:val="both"/>
      </w:pPr>
      <w:r>
        <w:t xml:space="preserve">Imprimir y firmar el documento.  </w:t>
      </w:r>
    </w:p>
    <w:p w14:paraId="03010898" w14:textId="77777777" w:rsidR="00D77F39" w:rsidRDefault="00D77F39" w:rsidP="00D77F39">
      <w:pPr>
        <w:spacing w:after="37" w:line="259" w:lineRule="auto"/>
        <w:ind w:left="62" w:hanging="10"/>
        <w:jc w:val="both"/>
      </w:pPr>
      <w:r>
        <w:t xml:space="preserve"> </w:t>
      </w:r>
    </w:p>
    <w:p w14:paraId="59B361CB" w14:textId="77777777" w:rsidR="00D77F39" w:rsidRDefault="00D77F39" w:rsidP="00D77F39">
      <w:pPr>
        <w:widowControl/>
        <w:numPr>
          <w:ilvl w:val="0"/>
          <w:numId w:val="1"/>
        </w:numPr>
        <w:suppressAutoHyphens w:val="0"/>
        <w:spacing w:after="5" w:line="296" w:lineRule="auto"/>
        <w:ind w:left="62" w:hanging="10"/>
        <w:jc w:val="both"/>
      </w:pPr>
      <w:r>
        <w:t xml:space="preserve">Este documento debidamente cumplimentado y firmado se deberá presentar junto con el resto de la documentación de la licitación de acuerdo con lo establecido en los pliegos que rigen la convocatoria y dentro del plazo fijado en la misma.  </w:t>
      </w:r>
    </w:p>
    <w:p w14:paraId="51BB99E4" w14:textId="77777777" w:rsidR="00D77F39" w:rsidRDefault="00D77F39" w:rsidP="00D77F39">
      <w:pPr>
        <w:spacing w:after="37" w:line="259" w:lineRule="auto"/>
        <w:ind w:left="62" w:hanging="10"/>
        <w:jc w:val="both"/>
      </w:pPr>
      <w:r>
        <w:t xml:space="preserve"> </w:t>
      </w:r>
    </w:p>
    <w:p w14:paraId="250B94F3" w14:textId="77777777" w:rsidR="00D77F39" w:rsidRDefault="00D77F39" w:rsidP="00D77F39">
      <w:pPr>
        <w:widowControl/>
        <w:numPr>
          <w:ilvl w:val="0"/>
          <w:numId w:val="1"/>
        </w:numPr>
        <w:suppressAutoHyphens w:val="0"/>
        <w:spacing w:after="5" w:line="296" w:lineRule="auto"/>
        <w:ind w:left="62" w:hanging="10"/>
        <w:jc w:val="both"/>
      </w:pPr>
      <w:r>
        <w:t xml:space="preserve">En caso de que se trate de un contrato con varios lotes, deberá cumplimentar una declaración por cada lote por el que licite.  </w:t>
      </w:r>
    </w:p>
    <w:p w14:paraId="485DEEF1" w14:textId="77777777" w:rsidR="00D77F39" w:rsidRDefault="00D77F39" w:rsidP="00D77F39">
      <w:pPr>
        <w:spacing w:after="37" w:line="259" w:lineRule="auto"/>
        <w:ind w:left="62" w:hanging="10"/>
        <w:jc w:val="both"/>
      </w:pPr>
      <w:r>
        <w:t xml:space="preserve"> </w:t>
      </w:r>
    </w:p>
    <w:p w14:paraId="56A46406" w14:textId="77777777" w:rsidR="00D77F39" w:rsidRDefault="00D77F39" w:rsidP="00D77F39">
      <w:pPr>
        <w:widowControl/>
        <w:numPr>
          <w:ilvl w:val="0"/>
          <w:numId w:val="1"/>
        </w:numPr>
        <w:suppressAutoHyphens w:val="0"/>
        <w:spacing w:after="5" w:line="296" w:lineRule="auto"/>
        <w:ind w:left="62" w:hanging="10"/>
        <w:jc w:val="both"/>
      </w:pPr>
      <w:r>
        <w:lastRenderedPageBreak/>
        <w:t xml:space="preserve">Cuando concurra a la licitación agrupado/a en una UTE o licitación en participación conjunta, se deberá cumplimentar un documento por cada una de las empresas que constituyan la UTE o concurran a la licitación en participación conjunta.  </w:t>
      </w:r>
    </w:p>
    <w:p w14:paraId="7B9E172A" w14:textId="77777777" w:rsidR="00D77F39" w:rsidRDefault="00D77F39" w:rsidP="00D77F39">
      <w:pPr>
        <w:spacing w:after="37" w:line="259" w:lineRule="auto"/>
        <w:ind w:left="62" w:hanging="10"/>
        <w:jc w:val="both"/>
      </w:pPr>
      <w:r>
        <w:t xml:space="preserve"> </w:t>
      </w:r>
    </w:p>
    <w:p w14:paraId="7AEB900E" w14:textId="77777777" w:rsidR="00D77F39" w:rsidRDefault="00D77F39" w:rsidP="00D77F39">
      <w:pPr>
        <w:widowControl/>
        <w:numPr>
          <w:ilvl w:val="0"/>
          <w:numId w:val="1"/>
        </w:numPr>
        <w:suppressAutoHyphens w:val="0"/>
        <w:spacing w:after="5" w:line="296" w:lineRule="auto"/>
        <w:ind w:left="62" w:hanging="10"/>
        <w:jc w:val="both"/>
      </w:pPr>
      <w:r>
        <w:t xml:space="preserve">En caso de que la licitadora acredite la solvencia necesaria para celebrar el contrato basándose en la solvencia y medios de otras empresas, independientemente de la naturaleza jurídica que tenga con ellas, se deberá cumplimentar un documento por la empresa licitadora y otro por la empresa cuyos medios se adscriben.  </w:t>
      </w:r>
    </w:p>
    <w:p w14:paraId="78BAE9F9" w14:textId="77777777" w:rsidR="001116DF" w:rsidRDefault="001116DF"/>
    <w:sectPr w:rsidR="001116DF" w:rsidSect="00D77F39">
      <w:headerReference w:type="default" r:id="rId8"/>
      <w:footerReference w:type="default" r:id="rId9"/>
      <w:pgSz w:w="11906" w:h="16838"/>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5A374" w14:textId="77777777" w:rsidR="002E2C29" w:rsidRDefault="002E2C29" w:rsidP="00D77F39">
      <w:r>
        <w:separator/>
      </w:r>
    </w:p>
  </w:endnote>
  <w:endnote w:type="continuationSeparator" w:id="0">
    <w:p w14:paraId="57ABD6BB" w14:textId="77777777" w:rsidR="002E2C29" w:rsidRDefault="002E2C29" w:rsidP="00D77F39">
      <w:r>
        <w:continuationSeparator/>
      </w:r>
    </w:p>
  </w:endnote>
  <w:endnote w:type="continuationNotice" w:id="1">
    <w:p w14:paraId="5EE02FB1" w14:textId="77777777" w:rsidR="005865E3" w:rsidRDefault="005865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jaVu Sans">
    <w:altName w:val="Verdana"/>
    <w:charset w:val="01"/>
    <w:family w:val="auto"/>
    <w:pitch w:val="variable"/>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403A2" w14:textId="66ED4F37" w:rsidR="00D77F39" w:rsidRDefault="00D77F39">
    <w:pPr>
      <w:pStyle w:val="Piedepgina"/>
    </w:pPr>
    <w:r>
      <w:rPr>
        <w:noProof/>
      </w:rPr>
      <w:drawing>
        <wp:inline distT="0" distB="0" distL="0" distR="0" wp14:anchorId="3904DE87" wp14:editId="1FAD3250">
          <wp:extent cx="5400040" cy="266700"/>
          <wp:effectExtent l="0" t="0" r="0" b="0"/>
          <wp:docPr id="1534444735" name="Imagen 1534444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5" t="-110" r="-5" b="-110"/>
                  <a:stretch>
                    <a:fillRect/>
                  </a:stretch>
                </pic:blipFill>
                <pic:spPr bwMode="auto">
                  <a:xfrm>
                    <a:off x="0" y="0"/>
                    <a:ext cx="5400040" cy="266700"/>
                  </a:xfrm>
                  <a:prstGeom prst="rect">
                    <a:avLst/>
                  </a:prstGeom>
                  <a:solidFill>
                    <a:srgbClr val="FFFFFF"/>
                  </a:solid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DFDA6" w14:textId="77777777" w:rsidR="002E2C29" w:rsidRDefault="002E2C29" w:rsidP="00D77F39">
      <w:r>
        <w:separator/>
      </w:r>
    </w:p>
  </w:footnote>
  <w:footnote w:type="continuationSeparator" w:id="0">
    <w:p w14:paraId="040E1CDB" w14:textId="77777777" w:rsidR="002E2C29" w:rsidRDefault="002E2C29" w:rsidP="00D77F39">
      <w:r>
        <w:continuationSeparator/>
      </w:r>
    </w:p>
  </w:footnote>
  <w:footnote w:type="continuationNotice" w:id="1">
    <w:p w14:paraId="650A81D1" w14:textId="77777777" w:rsidR="005865E3" w:rsidRDefault="005865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48CB6" w14:textId="1313CB7D" w:rsidR="00D77F39" w:rsidRDefault="00D77F39">
    <w:pPr>
      <w:pStyle w:val="Encabezado"/>
    </w:pPr>
    <w:r>
      <w:rPr>
        <w:noProof/>
      </w:rPr>
      <w:drawing>
        <wp:inline distT="0" distB="0" distL="0" distR="0" wp14:anchorId="79723168" wp14:editId="2CDE490F">
          <wp:extent cx="1775460" cy="701040"/>
          <wp:effectExtent l="0" t="0" r="0" b="3810"/>
          <wp:docPr id="1376458123" name="Imagen 1376458123" descr="Un 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500128" name="Imagen 1" descr="Un dibujo de una person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l="-21" t="-56" r="-21" b="-56"/>
                  <a:stretch>
                    <a:fillRect/>
                  </a:stretch>
                </pic:blipFill>
                <pic:spPr bwMode="auto">
                  <a:xfrm>
                    <a:off x="0" y="0"/>
                    <a:ext cx="1775460" cy="701040"/>
                  </a:xfrm>
                  <a:prstGeom prst="rect">
                    <a:avLst/>
                  </a:prstGeom>
                  <a:solidFill>
                    <a:srgbClr val="FFFFFF">
                      <a:alpha val="0"/>
                    </a:srgbClr>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B55755"/>
    <w:multiLevelType w:val="hybridMultilevel"/>
    <w:tmpl w:val="58DE9BBA"/>
    <w:lvl w:ilvl="0" w:tplc="A31C116A">
      <w:start w:val="1"/>
      <w:numFmt w:val="decimal"/>
      <w:lvlText w:val="%1."/>
      <w:lvlJc w:val="left"/>
      <w:pPr>
        <w:ind w:left="20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066B1F2">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56E36C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7BA0C44">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FFC4B7A">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38C0E9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2C0003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C207FE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18C261C">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973145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F39"/>
    <w:rsid w:val="000C01A1"/>
    <w:rsid w:val="001116DF"/>
    <w:rsid w:val="002E2C29"/>
    <w:rsid w:val="005865E3"/>
    <w:rsid w:val="00704DDF"/>
    <w:rsid w:val="00962A93"/>
    <w:rsid w:val="009A3A32"/>
    <w:rsid w:val="009C2419"/>
    <w:rsid w:val="00B749FC"/>
    <w:rsid w:val="00C5435B"/>
    <w:rsid w:val="00D77F39"/>
    <w:rsid w:val="00DA674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76032"/>
  <w15:chartTrackingRefBased/>
  <w15:docId w15:val="{EC260525-61C1-426B-87D3-A986AA310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7F39"/>
    <w:pPr>
      <w:widowControl w:val="0"/>
      <w:suppressAutoHyphens/>
      <w:spacing w:after="0" w:line="240" w:lineRule="auto"/>
    </w:pPr>
    <w:rPr>
      <w:rFonts w:ascii="Arial" w:eastAsia="DejaVu Sans" w:hAnsi="Arial" w:cs="DejaVu Sans"/>
      <w:kern w:val="0"/>
      <w:szCs w:val="24"/>
      <w:lang w:eastAsia="zh-CN" w:bidi="hi-IN"/>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77F39"/>
    <w:pPr>
      <w:tabs>
        <w:tab w:val="center" w:pos="4252"/>
        <w:tab w:val="right" w:pos="8504"/>
      </w:tabs>
    </w:pPr>
    <w:rPr>
      <w:rFonts w:cs="Mangal"/>
    </w:rPr>
  </w:style>
  <w:style w:type="character" w:customStyle="1" w:styleId="EncabezadoCar">
    <w:name w:val="Encabezado Car"/>
    <w:basedOn w:val="Fuentedeprrafopredeter"/>
    <w:link w:val="Encabezado"/>
    <w:uiPriority w:val="99"/>
    <w:rsid w:val="00D77F39"/>
    <w:rPr>
      <w:rFonts w:ascii="Arial" w:eastAsia="DejaVu Sans" w:hAnsi="Arial" w:cs="Mangal"/>
      <w:kern w:val="0"/>
      <w:szCs w:val="24"/>
      <w:lang w:eastAsia="zh-CN" w:bidi="hi-IN"/>
      <w14:ligatures w14:val="none"/>
    </w:rPr>
  </w:style>
  <w:style w:type="paragraph" w:styleId="Piedepgina">
    <w:name w:val="footer"/>
    <w:basedOn w:val="Normal"/>
    <w:link w:val="PiedepginaCar"/>
    <w:uiPriority w:val="99"/>
    <w:unhideWhenUsed/>
    <w:rsid w:val="00D77F39"/>
    <w:pPr>
      <w:tabs>
        <w:tab w:val="center" w:pos="4252"/>
        <w:tab w:val="right" w:pos="8504"/>
      </w:tabs>
    </w:pPr>
    <w:rPr>
      <w:rFonts w:cs="Mangal"/>
    </w:rPr>
  </w:style>
  <w:style w:type="character" w:customStyle="1" w:styleId="PiedepginaCar">
    <w:name w:val="Pie de página Car"/>
    <w:basedOn w:val="Fuentedeprrafopredeter"/>
    <w:link w:val="Piedepgina"/>
    <w:uiPriority w:val="99"/>
    <w:rsid w:val="00D77F39"/>
    <w:rPr>
      <w:rFonts w:ascii="Arial" w:eastAsia="DejaVu Sans" w:hAnsi="Arial" w:cs="Mangal"/>
      <w:kern w:val="0"/>
      <w:szCs w:val="24"/>
      <w:lang w:eastAsia="zh-CN" w:bidi="hi-IN"/>
      <w14:ligatures w14:val="none"/>
    </w:rPr>
  </w:style>
  <w:style w:type="paragraph" w:styleId="Prrafodelista">
    <w:name w:val="List Paragraph"/>
    <w:basedOn w:val="Normal"/>
    <w:uiPriority w:val="34"/>
    <w:qFormat/>
    <w:rsid w:val="009C2419"/>
    <w:pPr>
      <w:ind w:left="720"/>
      <w:contextualSpacing/>
    </w:pPr>
    <w:rPr>
      <w:rFonts w:cs="Mangal"/>
    </w:rPr>
  </w:style>
  <w:style w:type="character" w:styleId="Hipervnculo">
    <w:name w:val="Hyperlink"/>
    <w:basedOn w:val="Fuentedeprrafopredeter"/>
    <w:uiPriority w:val="99"/>
    <w:unhideWhenUsed/>
    <w:rsid w:val="009C2419"/>
    <w:rPr>
      <w:color w:val="0563C1" w:themeColor="hyperlink"/>
      <w:u w:val="single"/>
    </w:rPr>
  </w:style>
  <w:style w:type="character" w:styleId="Mencinsinresolver">
    <w:name w:val="Unresolved Mention"/>
    <w:basedOn w:val="Fuentedeprrafopredeter"/>
    <w:uiPriority w:val="99"/>
    <w:semiHidden/>
    <w:unhideWhenUsed/>
    <w:rsid w:val="009C2419"/>
    <w:rPr>
      <w:color w:val="605E5C"/>
      <w:shd w:val="clear" w:color="auto" w:fill="E1DFDD"/>
    </w:rPr>
  </w:style>
  <w:style w:type="character" w:styleId="Hipervnculovisitado">
    <w:name w:val="FollowedHyperlink"/>
    <w:basedOn w:val="Fuentedeprrafopredeter"/>
    <w:uiPriority w:val="99"/>
    <w:semiHidden/>
    <w:unhideWhenUsed/>
    <w:rsid w:val="009A3A3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isor.registrodelicitadores.gob.es/espd-web/filter?lang=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2</Pages>
  <Words>452</Words>
  <Characters>2490</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Alonso</dc:creator>
  <cp:keywords/>
  <dc:description/>
  <cp:lastModifiedBy>Ana Alonso</cp:lastModifiedBy>
  <cp:revision>6</cp:revision>
  <dcterms:created xsi:type="dcterms:W3CDTF">2023-09-15T07:45:00Z</dcterms:created>
  <dcterms:modified xsi:type="dcterms:W3CDTF">2023-10-16T11:34:00Z</dcterms:modified>
</cp:coreProperties>
</file>